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none"/>
          <w:rtl w:val="0"/>
        </w:rPr>
        <w:t xml:space="preserve">Charter for the Assessment Committee of </w:t>
      </w:r>
    </w:p>
    <w:p w:rsidR="00000000" w:rsidDel="00000000" w:rsidP="00000000" w:rsidRDefault="00000000" w:rsidRPr="00000000" w14:paraId="00000002">
      <w:pPr>
        <w:pStyle w:val="Heading1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none"/>
          <w:rtl w:val="0"/>
        </w:rPr>
        <w:t xml:space="preserve">Valley Unitarian Universalist Congregation</w:t>
      </w:r>
    </w:p>
    <w:p w:rsidR="00000000" w:rsidDel="00000000" w:rsidP="00000000" w:rsidRDefault="00000000" w:rsidRPr="00000000" w14:paraId="00000003">
      <w:pPr>
        <w:pStyle w:val="Heading1"/>
        <w:ind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3"/>
        </w:numPr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Purpose and Overall Responsibility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Assessment Committee is chartered, appointed by, and reports to the Board of Trustees. The purposes of the Assessment Committee are to: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Develop and maintain an assessment policy for the Congregation.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Develop a general plan of assessment that can be applied to each ministry/program.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Address VUU’s contractual obligation with its Sr. Minister: Section 1.2.6 “The Board and the Minister will monitor and nurture the health of the Congregation's ministries through regular assessments.”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Participate in ministerial performance assessment processes as requested by the BoT.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Provide Assessment Committee reports as listed in Board Policy’s Appendix B: Chart of Regular Monitoring Reports. (Currently those are listed as an Annual Congregational Survey and a Leadership Assessment).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Present assessment project findings to the Congregation, Staff, and Sr. Minister at regular intervals.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Report committee activities and results to be included in the Congregational Annual Report.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3"/>
        </w:numPr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Composition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Assessment Committee shall consist of five to nine members, approved by the Board of Trustees.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At least two members should be from the Board, and one from the Committee on Shared Ministry. The remaining members should be recommended by the Board, Committee Members, CSM, and/or the Sr. Minister.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Assessment Committee members shall serve staggered two-year terms unless otherwise agreed upon. Any member who wishes to remain on the committee may request that the Board reappoint them for another term. A member may serve up to six consecutive years. A two-year hiatus is required before they may serve on the committee again.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Members of the Assessment Committee serve at the discretion of the Board of Trustees and may be removed by the Board at any time for any reason.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Sr. Minister has ex-officio membership with the committee.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numPr>
          <w:ilvl w:val="0"/>
          <w:numId w:val="3"/>
        </w:numPr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Vacancies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In the event of a vacancy, the Committee will recommend a replacement to the Board.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numPr>
          <w:ilvl w:val="0"/>
          <w:numId w:val="3"/>
        </w:numPr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Meetings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Assessment Committee shall meet monthly as needed and more frequently as deemed necessary.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Committee meetings will generally be open unless a majority of members present move to go into executive session, as per Roberts Rules of Order. Confidential data results discussions will always occur in executive session.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quorum shall consist of a majority of the members.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majority of members present shall carry any motion or resolution.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committee will rely on Roberts Rules of Order if disagreements arise in accomplishing committee duties.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numPr>
          <w:ilvl w:val="0"/>
          <w:numId w:val="3"/>
        </w:numPr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Committee Structure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At the first Assessment Committee meeting of each fiscal year, the committee shall elect a chair, a co-chair by majority vote. If the committee has no chair, a convener shall be designated for that meeting.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chair or co-chair shall preside at all Committee meetings or designate an alternate in their absence.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chair or co-chair shall ensure notes are taken at all meetings of the Committee and supply a copy thereof to each member of the Committee, Sr. Minister, and to the President of the Board of Trustees.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numPr>
          <w:ilvl w:val="0"/>
          <w:numId w:val="3"/>
        </w:numPr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Funding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Committee will be responsible for making any committee budget requests.</w:t>
      </w:r>
    </w:p>
    <w:p w:rsidR="00000000" w:rsidDel="00000000" w:rsidP="00000000" w:rsidRDefault="00000000" w:rsidRPr="00000000" w14:paraId="0000002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right"/>
        <w:rPr>
          <w:rFonts w:ascii="Palatino Linotype" w:cs="Palatino Linotype" w:eastAsia="Palatino Linotype" w:hAnsi="Palatino Linotype"/>
          <w:color w:val="00000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rtl w:val="0"/>
        </w:rPr>
        <w:t xml:space="preserve">Approved by the Board of Trustees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07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rtl w:val="0"/>
        </w:rPr>
        <w:t xml:space="preserve">/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24/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rtl w:val="0"/>
        </w:rPr>
        <w:t xml:space="preserve">202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>
          <w:rFonts w:ascii="Palatino Linotype" w:cs="Palatino Linotype" w:eastAsia="Palatino Linotype" w:hAnsi="Palatino Linotyp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Legislative History: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Palatino Linotype" w:cs="Palatino Linotype" w:eastAsia="Palatino Linotype" w:hAnsi="Palatino Linotype"/>
          <w:color w:val="000000"/>
        </w:rPr>
      </w:pPr>
      <w:r w:rsidDel="00000000" w:rsidR="00000000" w:rsidRPr="00000000">
        <w:rPr>
          <w:rtl w:val="0"/>
        </w:rPr>
        <w:t xml:space="preserve">Initial Version approved 07/24/2025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ind w:left="-720"/>
    </w:pPr>
    <w:rPr>
      <w:rFonts w:ascii="Arial" w:cs="Arial" w:eastAsia="Arial" w:hAnsi="Arial"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0D3299"/>
    <w:rPr>
      <w:rFonts w:ascii="Arial" w:cs="Arial" w:eastAsia="Times New Roman" w:hAnsi="Arial"/>
      <w:sz w:val="20"/>
      <w:u w:val="single"/>
    </w:rPr>
  </w:style>
  <w:style w:type="paragraph" w:styleId="ListParagraph">
    <w:name w:val="List Paragraph"/>
    <w:basedOn w:val="Normal"/>
    <w:uiPriority w:val="34"/>
    <w:qFormat w:val="1"/>
    <w:rsid w:val="000D329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E3A14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E3A14"/>
    <w:rPr>
      <w:rFonts w:ascii="Tahoma" w:cs="Tahoma" w:eastAsia="Times New Roman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D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D143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D143C"/>
    <w:rPr>
      <w:rFonts w:ascii="Times New Roman" w:cs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D143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D143C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AB6C0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4FjM6pPyR8WbZBlY78rR5eQNvA==">CgMxLjA4AHIhMWJ5MThVUVBaMm50Qm9lZEtacmFHV3RoSHVDUmcwR2Zk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2025-07-24T01:36:00Z</dcterms:created>
  <dc:creator>Mary Erickson</dc:creator>
</cp:coreProperties>
</file>